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>
      <w:pPr>
        <w:spacing w:before="0" w:after="0"/>
      </w:pPr>
      <w:r>
        <w:rPr>
          <w:strike w:val="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-830834</wp:posOffset>
            </wp:positionH>
            <wp:positionV relativeFrom="paragraph">
              <wp:posOffset>-968375</wp:posOffset>
            </wp:positionV>
            <wp:extent cx="7686675" cy="1362075"/>
            <wp:wrapNone/>
            <wp:docPr id="100001" name="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 xml:space="preserve">INDIRIZZO: </w:t>
      </w:r>
      <w:r>
        <w:rPr>
          <w:rFonts w:ascii="Arial" w:eastAsia="Arial" w:hAnsi="Arial" w:cs="Arial"/>
          <w:b/>
          <w:bCs/>
        </w:rPr>
        <w:t>ITI "Informatica e Telecomunicazioni"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>ANNO SCOLASTICO: 2</w:t>
      </w:r>
      <w:r>
        <w:rPr>
          <w:rFonts w:ascii="Arial" w:eastAsia="Arial" w:hAnsi="Arial" w:cs="Arial"/>
          <w:b/>
          <w:bCs/>
        </w:rPr>
        <w:t xml:space="preserve">022/2023 </w:t>
      </w:r>
      <w:r>
        <w:rPr>
          <w:rFonts w:ascii="Arial" w:eastAsia="Arial" w:hAnsi="Arial" w:cs="Arial"/>
        </w:rPr>
        <w:t xml:space="preserve">CLASSE: </w:t>
      </w:r>
      <w:r>
        <w:rPr>
          <w:rFonts w:ascii="Arial" w:eastAsia="Arial" w:hAnsi="Arial" w:cs="Arial"/>
          <w:b/>
          <w:bCs/>
        </w:rPr>
        <w:t xml:space="preserve">SECONDA </w:t>
      </w:r>
      <w:r>
        <w:rPr>
          <w:rFonts w:ascii="Arial" w:eastAsia="Arial" w:hAnsi="Arial" w:cs="Arial"/>
        </w:rPr>
        <w:t xml:space="preserve">SEZIONE: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</w:rPr>
        <w:t xml:space="preserve">DISCIPLINA: </w:t>
      </w:r>
      <w:r>
        <w:rPr>
          <w:rFonts w:ascii="Arial" w:eastAsia="Arial" w:hAnsi="Arial" w:cs="Arial"/>
          <w:b/>
          <w:bCs/>
        </w:rPr>
        <w:t xml:space="preserve">T.T.R.G.E. </w:t>
      </w:r>
      <w:r>
        <w:rPr>
          <w:rFonts w:ascii="Arial" w:eastAsia="Arial" w:hAnsi="Arial" w:cs="Arial"/>
        </w:rPr>
        <w:t>(disegno)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DOCENTE: </w:t>
      </w:r>
      <w:r>
        <w:rPr>
          <w:rFonts w:ascii="Arial" w:eastAsia="Arial" w:hAnsi="Arial" w:cs="Arial"/>
          <w:b/>
          <w:bCs/>
        </w:rPr>
        <w:t>CARLO BOTTAZZI</w:t>
      </w: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Sistemi proiettivi bidimensionali e tridimensionali di solidi complessi 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6"/>
          <w:szCs w:val="26"/>
        </w:rPr>
        <w:t>Norme e convenzioni grafiche delle sezioni</w:t>
      </w:r>
      <w:r>
        <w:rPr>
          <w:rFonts w:ascii="Symbol" w:eastAsia="Symbol" w:hAnsi="Symbol" w:cs="Symbol"/>
          <w:sz w:val="26"/>
          <w:szCs w:val="26"/>
        </w:rPr>
        <w:sym w:font="Symbol" w:char="F020"/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6"/>
          <w:szCs w:val="26"/>
        </w:rPr>
        <w:t xml:space="preserve">Sezioni di solidi geometrici e ricerca della vera forma 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0"/>
        <w:ind w:left="720" w:right="0" w:hanging="36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Proiezioni ortogonali di particolari meccanici (approfondimenti)</w:t>
      </w:r>
      <w:r>
        <w:rPr>
          <w:rFonts w:ascii="Symbol" w:eastAsia="Symbol" w:hAnsi="Symbol" w:cs="Symbol"/>
        </w:rPr>
        <w:sym w:font="Symbol" w:char="F020"/>
      </w:r>
    </w:p>
    <w:p>
      <w:pPr>
        <w:spacing w:before="280" w:after="280"/>
        <w:ind w:left="851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Sistemi di quotatura </w:t>
      </w:r>
    </w:p>
    <w:p>
      <w:pPr>
        <w:numPr>
          <w:ilvl w:val="0"/>
          <w:numId w:val="2"/>
        </w:numPr>
        <w:tabs>
          <w:tab w:val="left" w:pos="1080"/>
        </w:tabs>
        <w:spacing w:before="28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>La quotatura dei disegni: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 xml:space="preserve">linee di misura e di riferimento, 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 xml:space="preserve">scrittura delle quote 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>sistemi di quotatura</w:t>
      </w:r>
      <w:r>
        <w:rPr>
          <w:rFonts w:ascii="Symbol" w:eastAsia="Symbol" w:hAnsi="Symbol" w:cs="Symbol"/>
          <w:sz w:val="26"/>
          <w:szCs w:val="26"/>
        </w:rPr>
        <w:sym w:font="Symbol" w:char="F020"/>
      </w:r>
    </w:p>
    <w:p>
      <w:pPr>
        <w:numPr>
          <w:ilvl w:val="0"/>
          <w:numId w:val="2"/>
        </w:numPr>
        <w:tabs>
          <w:tab w:val="left" w:pos="1134"/>
        </w:tabs>
        <w:spacing w:before="0" w:after="280"/>
        <w:ind w:left="1134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Proiezione ortogonali quotate di oggetti semplici e composti rappresentati in proiezione ortogonale e in assonometria</w:t>
      </w:r>
    </w:p>
    <w:p>
      <w:pPr>
        <w:spacing w:before="280" w:after="280"/>
        <w:ind w:left="72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Tecniche CAD 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Campi di applicazione del CAD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Uso dei comandi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Disegno di elementi semplici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Disegno di solidi composti e complessivi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Applicazione pratica per il disegno di proiezioni ortogonali, di solidi sezionati, solidi ribaltati e solidi quotati. 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Applicazione pratica ad un esecutivo semplice di solido sezionato e quotato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Alba, 08/06/2023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Il Docenti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Carlo Bottazzi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" w:eastAsia="Arial" w:hAnsi="Arial" w:cs="Arial"/>
          <w:sz w:val="23"/>
          <w:szCs w:val="23"/>
        </w:rPr>
        <w:t> </w:t>
      </w:r>
    </w:p>
    <w:p>
      <w:pPr>
        <w:spacing w:before="280" w:after="280"/>
        <w:ind w:left="720"/>
        <w:jc w:val="both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